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73B" w:rsidRPr="0015473B" w:rsidRDefault="0015473B" w:rsidP="0015473B">
      <w:pPr>
        <w:shd w:val="clear" w:color="auto" w:fill="FFFFFF"/>
        <w:spacing w:after="225" w:line="240" w:lineRule="auto"/>
        <w:outlineLvl w:val="4"/>
        <w:rPr>
          <w:rFonts w:ascii="Arial" w:eastAsia="Times New Roman" w:hAnsi="Arial" w:cs="Arial"/>
          <w:b/>
          <w:bCs/>
          <w:color w:val="372C2C"/>
          <w:sz w:val="27"/>
          <w:szCs w:val="27"/>
        </w:rPr>
      </w:pPr>
      <w:r w:rsidRPr="0015473B">
        <w:rPr>
          <w:rFonts w:ascii="Arial" w:eastAsia="Times New Roman" w:hAnsi="Arial" w:cs="Arial"/>
          <w:b/>
          <w:bCs/>
          <w:color w:val="372C2C"/>
          <w:sz w:val="27"/>
          <w:szCs w:val="27"/>
        </w:rPr>
        <w:t>Reclaiming the Native Home of Hope</w:t>
      </w:r>
      <w:r w:rsidR="00562251">
        <w:rPr>
          <w:rFonts w:ascii="Arial" w:eastAsia="Times New Roman" w:hAnsi="Arial" w:cs="Arial"/>
          <w:b/>
          <w:bCs/>
          <w:color w:val="372C2C"/>
          <w:sz w:val="27"/>
          <w:szCs w:val="27"/>
        </w:rPr>
        <w:t xml:space="preserve"> (1998)</w:t>
      </w:r>
    </w:p>
    <w:p w:rsidR="0015473B" w:rsidRPr="0015473B" w:rsidRDefault="00562251" w:rsidP="0015473B">
      <w:pPr>
        <w:spacing w:before="75"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37.5pt;height:2.25pt" o:hrpct="0" o:hralign="center" o:hrstd="t" o:hrnoshade="t" o:hr="t" fillcolor="#47494a" stroked="f"/>
        </w:pict>
      </w:r>
    </w:p>
    <w:p w:rsidR="0015473B" w:rsidRPr="0015473B" w:rsidRDefault="0015473B" w:rsidP="0015473B">
      <w:pPr>
        <w:shd w:val="clear" w:color="auto" w:fill="FFFFFF"/>
        <w:spacing w:before="100" w:beforeAutospacing="1" w:after="100" w:afterAutospacing="1" w:line="240" w:lineRule="auto"/>
        <w:rPr>
          <w:rFonts w:ascii="Arial" w:eastAsia="Times New Roman" w:hAnsi="Arial" w:cs="Arial"/>
          <w:color w:val="47494A"/>
          <w:sz w:val="26"/>
          <w:szCs w:val="26"/>
        </w:rPr>
      </w:pPr>
      <w:r w:rsidRPr="0015473B">
        <w:rPr>
          <w:rFonts w:ascii="Arial" w:eastAsia="Times New Roman" w:hAnsi="Arial" w:cs="Arial"/>
          <w:color w:val="47494A"/>
          <w:sz w:val="26"/>
          <w:szCs w:val="26"/>
        </w:rPr>
        <w:t>Despite the range of issues that divide its citizenry, the American West is experiencing an emerging ecological sensitivity and hope for understanding, cooperation, and interdisciplinary collaboration. Reclaiming the Native Home of Hope exemplifies these developments and is a distinctive and important contribution to the growing body of environmental and nature writing. Representing such diverse disciplines as literature, history, science, economics, law, and public policy, the eighteen essays included in the volume capture the essence of the ongoing dialogue on a variety of critical issues confronting Westerners today with regard to community, place geography, and wildness. The book contains essays by William Kittredge, Terry Tempest Williams, Rick Bass, Teresa Jordan, Stephen Trimble, Robert Keiter, Daniel Kemmis, Charles Wilkinson and others. For ordering information, visit the </w:t>
      </w:r>
      <w:hyperlink r:id="rId4" w:history="1">
        <w:r w:rsidRPr="0015473B">
          <w:rPr>
            <w:rFonts w:ascii="Arial" w:eastAsia="Times New Roman" w:hAnsi="Arial" w:cs="Arial"/>
            <w:color w:val="3366CC"/>
            <w:sz w:val="26"/>
            <w:szCs w:val="26"/>
            <w:u w:val="single"/>
          </w:rPr>
          <w:t>University of Utah Press </w:t>
        </w:r>
      </w:hyperlink>
      <w:r w:rsidRPr="0015473B">
        <w:rPr>
          <w:rFonts w:ascii="Arial" w:eastAsia="Times New Roman" w:hAnsi="Arial" w:cs="Arial"/>
          <w:color w:val="47494A"/>
          <w:sz w:val="26"/>
          <w:szCs w:val="26"/>
        </w:rPr>
        <w:t>.</w:t>
      </w:r>
    </w:p>
    <w:p w:rsidR="0015473B" w:rsidRPr="0015473B" w:rsidRDefault="0015473B" w:rsidP="0015473B">
      <w:pPr>
        <w:shd w:val="clear" w:color="auto" w:fill="FFFFFF"/>
        <w:spacing w:after="225" w:line="240" w:lineRule="auto"/>
        <w:outlineLvl w:val="4"/>
        <w:rPr>
          <w:rFonts w:ascii="Arial" w:eastAsia="Times New Roman" w:hAnsi="Arial" w:cs="Arial"/>
          <w:b/>
          <w:bCs/>
          <w:color w:val="372C2C"/>
          <w:sz w:val="27"/>
          <w:szCs w:val="27"/>
        </w:rPr>
      </w:pPr>
      <w:r w:rsidRPr="0015473B">
        <w:rPr>
          <w:rFonts w:ascii="Arial" w:eastAsia="Times New Roman" w:hAnsi="Arial" w:cs="Arial"/>
          <w:b/>
          <w:bCs/>
          <w:color w:val="372C2C"/>
          <w:sz w:val="27"/>
          <w:szCs w:val="27"/>
        </w:rPr>
        <w:t>Visions of the Grand Staircase-Escalante: Examining Utah’s Newest National Monument</w:t>
      </w:r>
      <w:r w:rsidR="00562251">
        <w:rPr>
          <w:rFonts w:ascii="Arial" w:eastAsia="Times New Roman" w:hAnsi="Arial" w:cs="Arial"/>
          <w:b/>
          <w:bCs/>
          <w:color w:val="372C2C"/>
          <w:sz w:val="27"/>
          <w:szCs w:val="27"/>
        </w:rPr>
        <w:t xml:space="preserve"> (1998)</w:t>
      </w:r>
    </w:p>
    <w:p w:rsidR="0015473B" w:rsidRPr="0015473B" w:rsidRDefault="00562251" w:rsidP="0015473B">
      <w:pPr>
        <w:shd w:val="clear" w:color="auto" w:fill="FFFFFF"/>
        <w:spacing w:before="75" w:after="150" w:line="240" w:lineRule="auto"/>
        <w:rPr>
          <w:rFonts w:ascii="Arial" w:eastAsia="Times New Roman" w:hAnsi="Arial" w:cs="Arial"/>
          <w:color w:val="47494A"/>
          <w:sz w:val="26"/>
          <w:szCs w:val="26"/>
        </w:rPr>
      </w:pPr>
      <w:r>
        <w:rPr>
          <w:rFonts w:ascii="Arial" w:eastAsia="Times New Roman" w:hAnsi="Arial" w:cs="Arial"/>
          <w:color w:val="47494A"/>
          <w:sz w:val="26"/>
          <w:szCs w:val="26"/>
        </w:rPr>
        <w:pict>
          <v:rect id="_x0000_i1026" style="width:37.5pt;height:2.25pt" o:hrpct="0" o:hralign="center" o:hrstd="t" o:hr="t" fillcolor="#a0a0a0" stroked="f"/>
        </w:pict>
      </w:r>
    </w:p>
    <w:p w:rsidR="0015473B" w:rsidRPr="0015473B" w:rsidRDefault="0015473B" w:rsidP="0015473B">
      <w:pPr>
        <w:shd w:val="clear" w:color="auto" w:fill="FFFFFF"/>
        <w:spacing w:before="100" w:beforeAutospacing="1" w:after="100" w:afterAutospacing="1" w:line="240" w:lineRule="auto"/>
        <w:rPr>
          <w:rFonts w:ascii="Arial" w:eastAsia="Times New Roman" w:hAnsi="Arial" w:cs="Arial"/>
          <w:color w:val="47494A"/>
          <w:sz w:val="26"/>
          <w:szCs w:val="26"/>
        </w:rPr>
      </w:pPr>
      <w:r w:rsidRPr="0015473B">
        <w:rPr>
          <w:rFonts w:ascii="Arial" w:eastAsia="Times New Roman" w:hAnsi="Arial" w:cs="Arial"/>
          <w:color w:val="47494A"/>
          <w:sz w:val="26"/>
          <w:szCs w:val="26"/>
        </w:rPr>
        <w:t>The Grand Staircase-Escalante region of southern Utah has a distinctly enigmatic quality. The area’s dry, stark terrain, interlaced with myriad geological formations and deep riverine canyons, has never supported large-scale human habitation. Yet, the surrounding national parks brought visitors in ever increasing numbers, and burgeoning interest in the Colorado Plateau’s recreational opportunities introduced urban Utahns and others to the area. And the region’s mineral resources attracted national attention after the Arab oil embargo. In September 1996, President Bill Clinton used his power under the Antiquities Act to designate the Grand Staircase-Escalante region as a new 1.7 million-acre national monument. Visions of the Grand Staircase-Escalante looks at this new monument and charts a course for its possible future. For ordering information, visit the </w:t>
      </w:r>
      <w:hyperlink r:id="rId5" w:history="1">
        <w:r w:rsidRPr="0015473B">
          <w:rPr>
            <w:rFonts w:ascii="Arial" w:eastAsia="Times New Roman" w:hAnsi="Arial" w:cs="Arial"/>
            <w:color w:val="3366CC"/>
            <w:sz w:val="26"/>
            <w:szCs w:val="26"/>
            <w:u w:val="single"/>
          </w:rPr>
          <w:t>University of Utah Press </w:t>
        </w:r>
      </w:hyperlink>
      <w:r w:rsidRPr="0015473B">
        <w:rPr>
          <w:rFonts w:ascii="Arial" w:eastAsia="Times New Roman" w:hAnsi="Arial" w:cs="Arial"/>
          <w:color w:val="47494A"/>
          <w:sz w:val="26"/>
          <w:szCs w:val="26"/>
        </w:rPr>
        <w:t>.</w:t>
      </w:r>
    </w:p>
    <w:p w:rsidR="0015473B" w:rsidRPr="0015473B" w:rsidRDefault="0015473B" w:rsidP="0015473B">
      <w:pPr>
        <w:shd w:val="clear" w:color="auto" w:fill="FFFFFF"/>
        <w:spacing w:after="225" w:line="240" w:lineRule="auto"/>
        <w:outlineLvl w:val="4"/>
        <w:rPr>
          <w:rFonts w:ascii="Arial" w:eastAsia="Times New Roman" w:hAnsi="Arial" w:cs="Arial"/>
          <w:b/>
          <w:bCs/>
          <w:color w:val="372C2C"/>
          <w:sz w:val="27"/>
          <w:szCs w:val="27"/>
        </w:rPr>
      </w:pPr>
      <w:r w:rsidRPr="0015473B">
        <w:rPr>
          <w:rFonts w:ascii="Arial" w:eastAsia="Times New Roman" w:hAnsi="Arial" w:cs="Arial"/>
          <w:b/>
          <w:bCs/>
          <w:color w:val="372C2C"/>
          <w:sz w:val="27"/>
          <w:szCs w:val="27"/>
        </w:rPr>
        <w:t>Learning from the Monument: What does the Grand Staircase-Escalante Mean for Land Protection in the West</w:t>
      </w:r>
      <w:r w:rsidR="00562251">
        <w:rPr>
          <w:rFonts w:ascii="Arial" w:eastAsia="Times New Roman" w:hAnsi="Arial" w:cs="Arial"/>
          <w:b/>
          <w:bCs/>
          <w:color w:val="372C2C"/>
          <w:sz w:val="27"/>
          <w:szCs w:val="27"/>
        </w:rPr>
        <w:t xml:space="preserve"> (2001)</w:t>
      </w:r>
    </w:p>
    <w:p w:rsidR="0015473B" w:rsidRPr="0015473B" w:rsidRDefault="00562251" w:rsidP="0015473B">
      <w:pPr>
        <w:shd w:val="clear" w:color="auto" w:fill="FFFFFF"/>
        <w:spacing w:before="75" w:after="150" w:line="240" w:lineRule="auto"/>
        <w:rPr>
          <w:rFonts w:ascii="Arial" w:eastAsia="Times New Roman" w:hAnsi="Arial" w:cs="Arial"/>
          <w:color w:val="47494A"/>
          <w:sz w:val="26"/>
          <w:szCs w:val="26"/>
        </w:rPr>
      </w:pPr>
      <w:r>
        <w:rPr>
          <w:rFonts w:ascii="Arial" w:eastAsia="Times New Roman" w:hAnsi="Arial" w:cs="Arial"/>
          <w:color w:val="47494A"/>
          <w:sz w:val="26"/>
          <w:szCs w:val="26"/>
        </w:rPr>
        <w:pict>
          <v:rect id="_x0000_i1027" style="width:37.5pt;height:2.25pt" o:hrpct="0" o:hralign="center" o:hrstd="t" o:hr="t" fillcolor="#a0a0a0" stroked="f"/>
        </w:pict>
      </w:r>
    </w:p>
    <w:p w:rsidR="0015473B" w:rsidRPr="0015473B" w:rsidRDefault="0015473B" w:rsidP="0015473B">
      <w:pPr>
        <w:shd w:val="clear" w:color="auto" w:fill="FFFFFF"/>
        <w:spacing w:before="100" w:beforeAutospacing="1" w:after="100" w:afterAutospacing="1" w:line="240" w:lineRule="auto"/>
        <w:rPr>
          <w:rFonts w:ascii="Arial" w:eastAsia="Times New Roman" w:hAnsi="Arial" w:cs="Arial"/>
          <w:color w:val="47494A"/>
          <w:sz w:val="26"/>
          <w:szCs w:val="26"/>
        </w:rPr>
      </w:pPr>
      <w:r w:rsidRPr="0015473B">
        <w:rPr>
          <w:rFonts w:ascii="Arial" w:eastAsia="Times New Roman" w:hAnsi="Arial" w:cs="Arial"/>
          <w:color w:val="47494A"/>
          <w:sz w:val="26"/>
          <w:szCs w:val="26"/>
        </w:rPr>
        <w:t xml:space="preserve">When he designated the Grand Staircase-Escalante National Monument, President Clinton broke with tradition and gave responsibility for the monument to the Bureau of Land Management, rather than the National Park Service. Under </w:t>
      </w:r>
      <w:r w:rsidRPr="0015473B">
        <w:rPr>
          <w:rFonts w:ascii="Arial" w:eastAsia="Times New Roman" w:hAnsi="Arial" w:cs="Arial"/>
          <w:color w:val="47494A"/>
          <w:sz w:val="26"/>
          <w:szCs w:val="26"/>
        </w:rPr>
        <w:lastRenderedPageBreak/>
        <w:t>the proclamation designating the monument gave BLM three years to develop a management plan, which was completed in 1999. The Journal of Land, Resources, &amp; Environmental Law published a special edition that reexamines the planning process behind the monument management plan, looking to implications that process has for broader plan land management issues. </w:t>
      </w:r>
      <w:hyperlink r:id="rId6" w:tgtFrame="_blank" w:history="1">
        <w:r w:rsidRPr="0015473B">
          <w:rPr>
            <w:rFonts w:ascii="Arial" w:eastAsia="Times New Roman" w:hAnsi="Arial" w:cs="Arial"/>
            <w:color w:val="C51230"/>
            <w:sz w:val="26"/>
            <w:szCs w:val="26"/>
            <w:u w:val="single"/>
          </w:rPr>
          <w:t>This publication can be viewed online.</w:t>
        </w:r>
      </w:hyperlink>
    </w:p>
    <w:p w:rsidR="0015473B" w:rsidRPr="0015473B" w:rsidRDefault="0015473B" w:rsidP="0015473B">
      <w:pPr>
        <w:shd w:val="clear" w:color="auto" w:fill="FFFFFF"/>
        <w:spacing w:after="225" w:line="240" w:lineRule="auto"/>
        <w:outlineLvl w:val="4"/>
        <w:rPr>
          <w:rFonts w:ascii="Arial" w:eastAsia="Times New Roman" w:hAnsi="Arial" w:cs="Arial"/>
          <w:b/>
          <w:bCs/>
          <w:color w:val="372C2C"/>
          <w:sz w:val="27"/>
          <w:szCs w:val="27"/>
        </w:rPr>
      </w:pPr>
      <w:r w:rsidRPr="0015473B">
        <w:rPr>
          <w:rFonts w:ascii="Arial" w:eastAsia="Times New Roman" w:hAnsi="Arial" w:cs="Arial"/>
          <w:b/>
          <w:bCs/>
          <w:color w:val="372C2C"/>
          <w:sz w:val="27"/>
          <w:szCs w:val="27"/>
        </w:rPr>
        <w:t>Transportation, Land Use and Ecology along the Wasatch Front</w:t>
      </w:r>
      <w:r w:rsidR="00562251">
        <w:rPr>
          <w:rFonts w:ascii="Arial" w:eastAsia="Times New Roman" w:hAnsi="Arial" w:cs="Arial"/>
          <w:b/>
          <w:bCs/>
          <w:color w:val="372C2C"/>
          <w:sz w:val="27"/>
          <w:szCs w:val="27"/>
        </w:rPr>
        <w:t xml:space="preserve"> (1997)</w:t>
      </w:r>
      <w:bookmarkStart w:id="0" w:name="_GoBack"/>
      <w:bookmarkEnd w:id="0"/>
    </w:p>
    <w:p w:rsidR="0015473B" w:rsidRPr="0015473B" w:rsidRDefault="00562251" w:rsidP="0015473B">
      <w:pPr>
        <w:shd w:val="clear" w:color="auto" w:fill="FFFFFF"/>
        <w:spacing w:before="75" w:after="150" w:line="240" w:lineRule="auto"/>
        <w:rPr>
          <w:rFonts w:ascii="Arial" w:eastAsia="Times New Roman" w:hAnsi="Arial" w:cs="Arial"/>
          <w:color w:val="47494A"/>
          <w:sz w:val="26"/>
          <w:szCs w:val="26"/>
        </w:rPr>
      </w:pPr>
      <w:r>
        <w:rPr>
          <w:rFonts w:ascii="Arial" w:eastAsia="Times New Roman" w:hAnsi="Arial" w:cs="Arial"/>
          <w:color w:val="47494A"/>
          <w:sz w:val="26"/>
          <w:szCs w:val="26"/>
        </w:rPr>
        <w:pict>
          <v:rect id="_x0000_i1028" style="width:37.5pt;height:2.25pt" o:hrpct="0" o:hralign="center" o:hrstd="t" o:hr="t" fillcolor="#a0a0a0" stroked="f"/>
        </w:pict>
      </w:r>
    </w:p>
    <w:p w:rsidR="0015473B" w:rsidRPr="0015473B" w:rsidRDefault="0015473B" w:rsidP="0015473B">
      <w:pPr>
        <w:shd w:val="clear" w:color="auto" w:fill="FFFFFF"/>
        <w:spacing w:before="100" w:beforeAutospacing="1" w:after="100" w:afterAutospacing="1" w:line="240" w:lineRule="auto"/>
        <w:rPr>
          <w:rFonts w:ascii="Arial" w:eastAsia="Times New Roman" w:hAnsi="Arial" w:cs="Arial"/>
          <w:color w:val="47494A"/>
          <w:sz w:val="26"/>
          <w:szCs w:val="26"/>
        </w:rPr>
      </w:pPr>
      <w:r w:rsidRPr="0015473B">
        <w:rPr>
          <w:rFonts w:ascii="Arial" w:eastAsia="Times New Roman" w:hAnsi="Arial" w:cs="Arial"/>
          <w:color w:val="47494A"/>
          <w:sz w:val="26"/>
          <w:szCs w:val="26"/>
        </w:rPr>
        <w:t>Like many metropolitan areas in the West, Utah’s Wasatch Front is undergoing rapid change as the result of substantial growth. Transportation, Land Use and Ecology along the Wasatch Front catalogues a number of these changes and examines ways in which the region, and by example the rest of the West, can come to terms with expanding urban development. For ordering information, contact the </w:t>
      </w:r>
      <w:hyperlink r:id="rId7" w:history="1">
        <w:r w:rsidRPr="0015473B">
          <w:rPr>
            <w:rFonts w:ascii="Arial" w:eastAsia="Times New Roman" w:hAnsi="Arial" w:cs="Arial"/>
            <w:color w:val="3366CC"/>
            <w:sz w:val="26"/>
            <w:szCs w:val="26"/>
            <w:u w:val="single"/>
          </w:rPr>
          <w:t>Stegner Center </w:t>
        </w:r>
      </w:hyperlink>
      <w:r w:rsidRPr="0015473B">
        <w:rPr>
          <w:rFonts w:ascii="Arial" w:eastAsia="Times New Roman" w:hAnsi="Arial" w:cs="Arial"/>
          <w:color w:val="47494A"/>
          <w:sz w:val="26"/>
          <w:szCs w:val="26"/>
        </w:rPr>
        <w:t>.</w:t>
      </w:r>
    </w:p>
    <w:p w:rsidR="00B27A8D" w:rsidRDefault="00B27A8D"/>
    <w:sectPr w:rsidR="00B27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3B"/>
    <w:rsid w:val="0015473B"/>
    <w:rsid w:val="00562251"/>
    <w:rsid w:val="00B2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BA858"/>
  <w15:chartTrackingRefBased/>
  <w15:docId w15:val="{71A0D4A7-9C02-45F3-BF58-255037CA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15473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5473B"/>
    <w:rPr>
      <w:rFonts w:ascii="Times New Roman" w:eastAsia="Times New Roman" w:hAnsi="Times New Roman" w:cs="Times New Roman"/>
      <w:b/>
      <w:bCs/>
      <w:sz w:val="20"/>
      <w:szCs w:val="20"/>
    </w:rPr>
  </w:style>
  <w:style w:type="character" w:styleId="Strong">
    <w:name w:val="Strong"/>
    <w:basedOn w:val="DefaultParagraphFont"/>
    <w:uiPriority w:val="22"/>
    <w:qFormat/>
    <w:rsid w:val="0015473B"/>
    <w:rPr>
      <w:b/>
      <w:bCs/>
    </w:rPr>
  </w:style>
  <w:style w:type="paragraph" w:customStyle="1" w:styleId="selectionshareable">
    <w:name w:val="selectionshareable"/>
    <w:basedOn w:val="Normal"/>
    <w:rsid w:val="001547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47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480431">
      <w:bodyDiv w:val="1"/>
      <w:marLeft w:val="0"/>
      <w:marRight w:val="0"/>
      <w:marTop w:val="0"/>
      <w:marBottom w:val="0"/>
      <w:divBdr>
        <w:top w:val="none" w:sz="0" w:space="0" w:color="auto"/>
        <w:left w:val="none" w:sz="0" w:space="0" w:color="auto"/>
        <w:bottom w:val="none" w:sz="0" w:space="0" w:color="auto"/>
        <w:right w:val="none" w:sz="0" w:space="0" w:color="auto"/>
      </w:divBdr>
    </w:div>
    <w:div w:id="2000453240">
      <w:bodyDiv w:val="1"/>
      <w:marLeft w:val="0"/>
      <w:marRight w:val="0"/>
      <w:marTop w:val="0"/>
      <w:marBottom w:val="0"/>
      <w:divBdr>
        <w:top w:val="none" w:sz="0" w:space="0" w:color="auto"/>
        <w:left w:val="none" w:sz="0" w:space="0" w:color="auto"/>
        <w:bottom w:val="none" w:sz="0" w:space="0" w:color="auto"/>
        <w:right w:val="none" w:sz="0" w:space="0" w:color="auto"/>
      </w:divBdr>
      <w:divsChild>
        <w:div w:id="1797484590">
          <w:marLeft w:val="0"/>
          <w:marRight w:val="0"/>
          <w:marTop w:val="0"/>
          <w:marBottom w:val="0"/>
          <w:divBdr>
            <w:top w:val="none" w:sz="0" w:space="0" w:color="auto"/>
            <w:left w:val="none" w:sz="0" w:space="0" w:color="auto"/>
            <w:bottom w:val="none" w:sz="0" w:space="0" w:color="auto"/>
            <w:right w:val="none" w:sz="0" w:space="0" w:color="auto"/>
          </w:divBdr>
          <w:divsChild>
            <w:div w:id="679938385">
              <w:marLeft w:val="0"/>
              <w:marRight w:val="0"/>
              <w:marTop w:val="0"/>
              <w:marBottom w:val="0"/>
              <w:divBdr>
                <w:top w:val="none" w:sz="0" w:space="0" w:color="auto"/>
                <w:left w:val="none" w:sz="0" w:space="0" w:color="auto"/>
                <w:bottom w:val="none" w:sz="0" w:space="0" w:color="auto"/>
                <w:right w:val="none" w:sz="0" w:space="0" w:color="auto"/>
              </w:divBdr>
              <w:divsChild>
                <w:div w:id="1204441535">
                  <w:marLeft w:val="0"/>
                  <w:marRight w:val="0"/>
                  <w:marTop w:val="0"/>
                  <w:marBottom w:val="0"/>
                  <w:divBdr>
                    <w:top w:val="none" w:sz="0" w:space="0" w:color="auto"/>
                    <w:left w:val="none" w:sz="0" w:space="0" w:color="auto"/>
                    <w:bottom w:val="none" w:sz="0" w:space="0" w:color="auto"/>
                    <w:right w:val="none" w:sz="0" w:space="0" w:color="auto"/>
                  </w:divBdr>
                  <w:divsChild>
                    <w:div w:id="2054961785">
                      <w:marLeft w:val="0"/>
                      <w:marRight w:val="0"/>
                      <w:marTop w:val="0"/>
                      <w:marBottom w:val="0"/>
                      <w:divBdr>
                        <w:top w:val="none" w:sz="0" w:space="0" w:color="auto"/>
                        <w:left w:val="none" w:sz="0" w:space="0" w:color="auto"/>
                        <w:bottom w:val="none" w:sz="0" w:space="0" w:color="auto"/>
                        <w:right w:val="none" w:sz="0" w:space="0" w:color="auto"/>
                      </w:divBdr>
                      <w:divsChild>
                        <w:div w:id="1935821322">
                          <w:marLeft w:val="0"/>
                          <w:marRight w:val="0"/>
                          <w:marTop w:val="0"/>
                          <w:marBottom w:val="225"/>
                          <w:divBdr>
                            <w:top w:val="none" w:sz="0" w:space="0" w:color="auto"/>
                            <w:left w:val="none" w:sz="0" w:space="0" w:color="auto"/>
                            <w:bottom w:val="none" w:sz="0" w:space="0" w:color="auto"/>
                            <w:right w:val="none" w:sz="0" w:space="0" w:color="auto"/>
                          </w:divBdr>
                          <w:divsChild>
                            <w:div w:id="1528061868">
                              <w:marLeft w:val="0"/>
                              <w:marRight w:val="0"/>
                              <w:marTop w:val="0"/>
                              <w:marBottom w:val="0"/>
                              <w:divBdr>
                                <w:top w:val="none" w:sz="0" w:space="0" w:color="auto"/>
                                <w:left w:val="none" w:sz="0" w:space="0" w:color="auto"/>
                                <w:bottom w:val="none" w:sz="0" w:space="0" w:color="auto"/>
                                <w:right w:val="none" w:sz="0" w:space="0" w:color="auto"/>
                              </w:divBdr>
                              <w:divsChild>
                                <w:div w:id="1459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683095">
          <w:marLeft w:val="0"/>
          <w:marRight w:val="0"/>
          <w:marTop w:val="0"/>
          <w:marBottom w:val="0"/>
          <w:divBdr>
            <w:top w:val="none" w:sz="0" w:space="0" w:color="auto"/>
            <w:left w:val="none" w:sz="0" w:space="0" w:color="auto"/>
            <w:bottom w:val="none" w:sz="0" w:space="0" w:color="auto"/>
            <w:right w:val="none" w:sz="0" w:space="0" w:color="auto"/>
          </w:divBdr>
          <w:divsChild>
            <w:div w:id="821045716">
              <w:marLeft w:val="0"/>
              <w:marRight w:val="0"/>
              <w:marTop w:val="0"/>
              <w:marBottom w:val="0"/>
              <w:divBdr>
                <w:top w:val="none" w:sz="0" w:space="0" w:color="auto"/>
                <w:left w:val="none" w:sz="0" w:space="0" w:color="auto"/>
                <w:bottom w:val="none" w:sz="0" w:space="0" w:color="auto"/>
                <w:right w:val="none" w:sz="0" w:space="0" w:color="auto"/>
              </w:divBdr>
              <w:divsChild>
                <w:div w:id="462382312">
                  <w:marLeft w:val="0"/>
                  <w:marRight w:val="0"/>
                  <w:marTop w:val="0"/>
                  <w:marBottom w:val="0"/>
                  <w:divBdr>
                    <w:top w:val="none" w:sz="0" w:space="0" w:color="auto"/>
                    <w:left w:val="none" w:sz="0" w:space="0" w:color="auto"/>
                    <w:bottom w:val="none" w:sz="0" w:space="0" w:color="auto"/>
                    <w:right w:val="none" w:sz="0" w:space="0" w:color="auto"/>
                  </w:divBdr>
                  <w:divsChild>
                    <w:div w:id="485168567">
                      <w:marLeft w:val="0"/>
                      <w:marRight w:val="0"/>
                      <w:marTop w:val="0"/>
                      <w:marBottom w:val="0"/>
                      <w:divBdr>
                        <w:top w:val="none" w:sz="0" w:space="0" w:color="auto"/>
                        <w:left w:val="none" w:sz="0" w:space="0" w:color="auto"/>
                        <w:bottom w:val="none" w:sz="0" w:space="0" w:color="auto"/>
                        <w:right w:val="none" w:sz="0" w:space="0" w:color="auto"/>
                      </w:divBdr>
                      <w:divsChild>
                        <w:div w:id="1679699722">
                          <w:marLeft w:val="0"/>
                          <w:marRight w:val="0"/>
                          <w:marTop w:val="0"/>
                          <w:marBottom w:val="225"/>
                          <w:divBdr>
                            <w:top w:val="none" w:sz="0" w:space="0" w:color="auto"/>
                            <w:left w:val="none" w:sz="0" w:space="0" w:color="auto"/>
                            <w:bottom w:val="none" w:sz="0" w:space="0" w:color="auto"/>
                            <w:right w:val="none" w:sz="0" w:space="0" w:color="auto"/>
                          </w:divBdr>
                          <w:divsChild>
                            <w:div w:id="157968177">
                              <w:marLeft w:val="0"/>
                              <w:marRight w:val="0"/>
                              <w:marTop w:val="0"/>
                              <w:marBottom w:val="0"/>
                              <w:divBdr>
                                <w:top w:val="none" w:sz="0" w:space="0" w:color="auto"/>
                                <w:left w:val="none" w:sz="0" w:space="0" w:color="auto"/>
                                <w:bottom w:val="none" w:sz="0" w:space="0" w:color="auto"/>
                                <w:right w:val="none" w:sz="0" w:space="0" w:color="auto"/>
                              </w:divBdr>
                              <w:divsChild>
                                <w:div w:id="13138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247456">
          <w:marLeft w:val="0"/>
          <w:marRight w:val="0"/>
          <w:marTop w:val="0"/>
          <w:marBottom w:val="0"/>
          <w:divBdr>
            <w:top w:val="none" w:sz="0" w:space="0" w:color="auto"/>
            <w:left w:val="none" w:sz="0" w:space="0" w:color="auto"/>
            <w:bottom w:val="none" w:sz="0" w:space="0" w:color="auto"/>
            <w:right w:val="none" w:sz="0" w:space="0" w:color="auto"/>
          </w:divBdr>
          <w:divsChild>
            <w:div w:id="1998219356">
              <w:marLeft w:val="0"/>
              <w:marRight w:val="0"/>
              <w:marTop w:val="0"/>
              <w:marBottom w:val="0"/>
              <w:divBdr>
                <w:top w:val="none" w:sz="0" w:space="0" w:color="auto"/>
                <w:left w:val="none" w:sz="0" w:space="0" w:color="auto"/>
                <w:bottom w:val="none" w:sz="0" w:space="0" w:color="auto"/>
                <w:right w:val="none" w:sz="0" w:space="0" w:color="auto"/>
              </w:divBdr>
              <w:divsChild>
                <w:div w:id="2064939203">
                  <w:marLeft w:val="0"/>
                  <w:marRight w:val="0"/>
                  <w:marTop w:val="0"/>
                  <w:marBottom w:val="0"/>
                  <w:divBdr>
                    <w:top w:val="none" w:sz="0" w:space="0" w:color="auto"/>
                    <w:left w:val="none" w:sz="0" w:space="0" w:color="auto"/>
                    <w:bottom w:val="none" w:sz="0" w:space="0" w:color="auto"/>
                    <w:right w:val="none" w:sz="0" w:space="0" w:color="auto"/>
                  </w:divBdr>
                  <w:divsChild>
                    <w:div w:id="1637487030">
                      <w:marLeft w:val="0"/>
                      <w:marRight w:val="0"/>
                      <w:marTop w:val="0"/>
                      <w:marBottom w:val="0"/>
                      <w:divBdr>
                        <w:top w:val="none" w:sz="0" w:space="0" w:color="auto"/>
                        <w:left w:val="none" w:sz="0" w:space="0" w:color="auto"/>
                        <w:bottom w:val="none" w:sz="0" w:space="0" w:color="auto"/>
                        <w:right w:val="none" w:sz="0" w:space="0" w:color="auto"/>
                      </w:divBdr>
                      <w:divsChild>
                        <w:div w:id="261768006">
                          <w:marLeft w:val="0"/>
                          <w:marRight w:val="0"/>
                          <w:marTop w:val="0"/>
                          <w:marBottom w:val="225"/>
                          <w:divBdr>
                            <w:top w:val="none" w:sz="0" w:space="0" w:color="auto"/>
                            <w:left w:val="none" w:sz="0" w:space="0" w:color="auto"/>
                            <w:bottom w:val="none" w:sz="0" w:space="0" w:color="auto"/>
                            <w:right w:val="none" w:sz="0" w:space="0" w:color="auto"/>
                          </w:divBdr>
                          <w:divsChild>
                            <w:div w:id="1022780080">
                              <w:marLeft w:val="0"/>
                              <w:marRight w:val="0"/>
                              <w:marTop w:val="0"/>
                              <w:marBottom w:val="0"/>
                              <w:divBdr>
                                <w:top w:val="none" w:sz="0" w:space="0" w:color="auto"/>
                                <w:left w:val="none" w:sz="0" w:space="0" w:color="auto"/>
                                <w:bottom w:val="none" w:sz="0" w:space="0" w:color="auto"/>
                                <w:right w:val="none" w:sz="0" w:space="0" w:color="auto"/>
                              </w:divBdr>
                              <w:divsChild>
                                <w:div w:id="17460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egner@law.uta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tent.lib.utah.edu/cdm/ref/collection/utlawrev/id/6642" TargetMode="External"/><Relationship Id="rId5" Type="http://schemas.openxmlformats.org/officeDocument/2006/relationships/hyperlink" Target="http://www.upress.utah.edu/" TargetMode="External"/><Relationship Id="rId4" Type="http://schemas.openxmlformats.org/officeDocument/2006/relationships/hyperlink" Target="http://www.upress.utah.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Nystrom</dc:creator>
  <cp:keywords/>
  <dc:description/>
  <cp:lastModifiedBy>Jan Nystrom</cp:lastModifiedBy>
  <cp:revision>2</cp:revision>
  <dcterms:created xsi:type="dcterms:W3CDTF">2021-04-23T18:49:00Z</dcterms:created>
  <dcterms:modified xsi:type="dcterms:W3CDTF">2021-04-26T16:27:00Z</dcterms:modified>
</cp:coreProperties>
</file>